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Contrato nº 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rtl w:val="0"/>
        </w:rPr>
        <w:t xml:space="preserve"> 52/2017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Contratado: SERVIÇO E CONSTRUÇÕES LTDA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Quantidade de Vínculos do Contrato: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Tipo - ( x ) 1- Locação de Mão-de-Obra; (   )  2- Fornecimento de Produtos e Serviços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Período / Parcela / O.S.:    ABRIL /2018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NE nº/ano    2234/2018      </w:t>
      </w:r>
    </w:p>
    <w:p w:rsidR="00000000" w:rsidDel="00000000" w:rsidP="00000000" w:rsidRDefault="00000000" w:rsidRPr="00000000" w14:paraId="00000007">
      <w:pPr>
        <w:widowControl w:val="0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Garantia válida até xxxxxx</w:t>
      </w:r>
    </w:p>
    <w:p w:rsidR="00000000" w:rsidDel="00000000" w:rsidP="00000000" w:rsidRDefault="00000000" w:rsidRPr="00000000" w14:paraId="00000008">
      <w:pPr>
        <w:widowControl w:val="0"/>
        <w:contextualSpacing w:val="0"/>
        <w:rPr>
          <w:color w:val="424242"/>
        </w:rPr>
      </w:pPr>
      <w:r w:rsidDel="00000000" w:rsidR="00000000" w:rsidRPr="00000000">
        <w:rPr>
          <w:color w:val="424242"/>
          <w:rtl w:val="0"/>
        </w:rPr>
        <w:t xml:space="preserve">Data do Exame: 08/04/2018</w:t>
      </w:r>
    </w:p>
    <w:p w:rsidR="00000000" w:rsidDel="00000000" w:rsidP="00000000" w:rsidRDefault="00000000" w:rsidRPr="00000000" w14:paraId="00000009">
      <w:pPr>
        <w:widowControl w:val="0"/>
        <w:contextualSpacing w:val="0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center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RELATÓRIO DE FISCALIZAÇÃO ADMINISTRATIVA Nº xxx/2018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center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1- Verificação de Conformidade Documental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5400"/>
        <w:gridCol w:w="3030"/>
        <w:tblGridChange w:id="0">
          <w:tblGrid>
            <w:gridCol w:w="795"/>
            <w:gridCol w:w="5400"/>
            <w:gridCol w:w="3030"/>
          </w:tblGrid>
        </w:tblGridChange>
      </w:tblGrid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Tipo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Análise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rtl w:val="0"/>
              </w:rPr>
              <w:t xml:space="preserve">[conforme/não conforme pelos seguintes motivos]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Total Empenhos R$ 22.300,00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Nota Fiscal/Boleto nº _2018/00000000256, de 07/05/2018, R$ _22300,00 com descrição do contrato, nota de empenho e mês da competência do serviço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color w:val="424242"/>
                <w:sz w:val="16"/>
                <w:szCs w:val="16"/>
              </w:rPr>
            </w:pPr>
            <w:r w:rsidDel="00000000" w:rsidR="00000000" w:rsidRPr="00000000">
              <w:rPr>
                <w:color w:val="424242"/>
                <w:sz w:val="16"/>
                <w:szCs w:val="16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Planilha indicativa das provisões para a Conta Vinculada.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Certidões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de Regularidade Fiscal -  Federal com validade até 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_15/03/2018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 nº _ 9D83.B533.742C.80AC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Validação de originalidade realizada em 08/05/2018  com resultado VÁLIDO.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Certidões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de Regularidade Fiscal - Estadual com validade até  22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_/05_/2018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 nº  86D6.C3F7.4DC7.7A91 Validação de originalidade realizada em 08/05/2018  com resultado VÁLIDO.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Certidões de Regularidade Fiscal - Municipal com validade até 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_02/07/2018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Validação de originalidade realizada em 08/05/2018  com resultado VÁLIDO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Certidão de Regularidade FGTS - CRF com validade até 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_21/05/2018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nº _ 2018042208342504083998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Validação de originalidade realizada em 08/05/2018  com resultado _VÁLIDO.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Certidão Negativa de Débitos Trabalhistas, com validade até 08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/07/2018 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nº _142963724/2018  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Validação de originalidade realizada em 08/05/2018  com resultado _VÁLIDO.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Folha de Pagamento</w:t>
            </w:r>
          </w:p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Folha e comprovante de pagamento de salários do mês de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_MARÇO,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, no valor de R$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_25369,31__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referente a 19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__ 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empregados ( mão-de-obra vinculada ao TJ)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Pagamentos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Declaração da Empresa que forneceu todos os benefícios contratuais devidos à categoria profissional cuja mão de obra se loca, nos termos dos acordos coletivos em vigor ou disciplinados em legislação específica, relacionando-os. Ex. Vale transporte; Vale Alimentação; Cesta Básica;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Encargos Sociais - SEFIP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Comprovação de envio SEFIP - Conectividade Social competência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_03/2018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, em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__08/05/2018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CONFORME</w:t>
            </w:r>
          </w:p>
        </w:tc>
      </w:tr>
      <w:tr>
        <w:trPr>
          <w:trHeight w:val="1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Encargos Sociais - RE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Relação de Trabalhadores por tomador da competência 03/2018 - Com registro de _19  empregados no TJPB;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             CONFORME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Encargos Sociais - INSS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GPS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Competência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_03/2018_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e comprovante de pagamento de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___/___/____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, no valor de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R$ ___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e Relatório Analítico GPS  competência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_03_/2018_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  e valor de R$ ___________/ ou Relatório de Compensação - se for o caso,competência __________ no valor de R$ ______________.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Encargos Sociais - FGTS - GFIP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both"/>
              <w:rPr>
                <w:color w:val="424242"/>
                <w:sz w:val="20"/>
                <w:szCs w:val="20"/>
                <w:u w:val="single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Competência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_____/____</w:t>
            </w: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e comprovante de pagamento de __/___/___, no valor de R$ __________________ e Relatório Analítico GRF competência __/__ e valor de R$ </w:t>
            </w:r>
            <w:r w:rsidDel="00000000" w:rsidR="00000000" w:rsidRPr="00000000">
              <w:rPr>
                <w:color w:val="424242"/>
                <w:sz w:val="20"/>
                <w:szCs w:val="20"/>
                <w:u w:val="single"/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Fiscalização </w:t>
            </w:r>
          </w:p>
          <w:p w:rsidR="00000000" w:rsidDel="00000000" w:rsidP="00000000" w:rsidRDefault="00000000" w:rsidRPr="00000000" w14:paraId="00000047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Relatório(s) do Fiscal Técnico:</w:t>
            </w:r>
          </w:p>
          <w:p w:rsidR="00000000" w:rsidDel="00000000" w:rsidP="00000000" w:rsidRDefault="00000000" w:rsidRPr="00000000" w14:paraId="00000048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(   ) Termo de Não Designação de Fiscalização em  ___/___/___</w:t>
            </w:r>
          </w:p>
          <w:p w:rsidR="00000000" w:rsidDel="00000000" w:rsidP="00000000" w:rsidRDefault="00000000" w:rsidRPr="00000000" w14:paraId="00000049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(    )  com Não Conformidade Nº ______  de ___/___/___</w:t>
            </w:r>
          </w:p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(    )  sem Não Conformidade Nº ______  de ___/___/___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 Relatório(s) do Fiscal Setorial: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(    )  com Não Conformidade Nº ______  de ___/___/___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(   ) sem registros de Relatórios  até ___/___/___;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jc w:val="both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Outras exigências Contratuais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xxx</w:t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contextualSpacing w:val="0"/>
        <w:jc w:val="both"/>
        <w:rPr>
          <w:b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2- Relatório de Fiscalização Administrativa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Atesto que o exame documental descrito neste documento apresenta em </w:t>
      </w:r>
      <w:r w:rsidDel="00000000" w:rsidR="00000000" w:rsidRPr="00000000">
        <w:rPr>
          <w:b w:val="1"/>
          <w:color w:val="424242"/>
          <w:sz w:val="20"/>
          <w:szCs w:val="20"/>
          <w:rtl w:val="0"/>
        </w:rPr>
        <w:t xml:space="preserve">[CONFORMIDADE/NÃO CONFORMIDADE]</w:t>
      </w:r>
      <w:r w:rsidDel="00000000" w:rsidR="00000000" w:rsidRPr="00000000">
        <w:rPr>
          <w:color w:val="424242"/>
          <w:sz w:val="20"/>
          <w:szCs w:val="20"/>
          <w:rtl w:val="0"/>
        </w:rPr>
        <w:t xml:space="preserve"> com as exigências contratuais e regulatórias.</w:t>
      </w:r>
    </w:p>
    <w:p w:rsidR="00000000" w:rsidDel="00000000" w:rsidP="00000000" w:rsidRDefault="00000000" w:rsidRPr="00000000" w14:paraId="00000063">
      <w:pPr>
        <w:contextualSpacing w:val="0"/>
        <w:jc w:val="righ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3- Encaminhamento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     ) Encaminhar para Termo de Atesto e Pagamento</w:t>
      </w:r>
    </w:p>
    <w:p w:rsidR="00000000" w:rsidDel="00000000" w:rsidP="00000000" w:rsidRDefault="00000000" w:rsidRPr="00000000" w14:paraId="00000067">
      <w:pPr>
        <w:spacing w:line="276" w:lineRule="auto"/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(     ) Comunicar Contratado para solucionar Não Conformidades apontadas.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Fiscal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color w:val="424242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Nome / Matrícula: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2"/>
      <w:tblW w:w="10020.0" w:type="dxa"/>
      <w:jc w:val="left"/>
      <w:tblInd w:w="-5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385"/>
      <w:gridCol w:w="5940"/>
      <w:gridCol w:w="1695"/>
      <w:tblGridChange w:id="0">
        <w:tblGrid>
          <w:gridCol w:w="2385"/>
          <w:gridCol w:w="5940"/>
          <w:gridCol w:w="1695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414338" cy="478082"/>
                <wp:effectExtent b="0" l="0" r="0" t="0"/>
                <wp:docPr id="1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8" cy="4780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6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- Tribunal de Justiça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keepNext w:val="0"/>
            <w:keepLines w:val="0"/>
            <w:spacing w:before="480" w:lineRule="auto"/>
            <w:contextualSpacing w:val="0"/>
            <w:jc w:val="both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AÇÕES DE ATESTO E PAGAMENTO – RELATÓRIO DE FISCALIZAÇÃO ADMINISTRATIVA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2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FOR-GC-001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3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74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