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Contrato nº xxxxx 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Contratado: xxx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Período / Parcela / O.F.: xxxxx</w:t>
      </w:r>
    </w:p>
    <w:p w:rsidR="00000000" w:rsidDel="00000000" w:rsidP="00000000" w:rsidRDefault="00000000" w:rsidRPr="00000000" w14:paraId="00000004">
      <w:pPr>
        <w:widowControl w:val="0"/>
        <w:contextualSpacing w:val="0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Data do Exame: xx/xx/xx</w:t>
      </w:r>
    </w:p>
    <w:p w:rsidR="00000000" w:rsidDel="00000000" w:rsidP="00000000" w:rsidRDefault="00000000" w:rsidRPr="00000000" w14:paraId="00000005">
      <w:pPr>
        <w:widowControl w:val="0"/>
        <w:contextualSpacing w:val="0"/>
        <w:rPr>
          <w:b w:val="1"/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center"/>
        <w:rPr>
          <w:b w:val="1"/>
          <w:color w:val="424242"/>
        </w:rPr>
      </w:pPr>
      <w:r w:rsidDel="00000000" w:rsidR="00000000" w:rsidRPr="00000000">
        <w:rPr>
          <w:b w:val="1"/>
          <w:color w:val="424242"/>
          <w:rtl w:val="0"/>
        </w:rPr>
        <w:t xml:space="preserve">RELATÓRIO DE FISCALIZAÇÃO TÉCNICA Nº xxx/2018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Atesto que os serviços, objetos da(s) OF(s) supracitadas  </w:t>
      </w:r>
      <w:r w:rsidDel="00000000" w:rsidR="00000000" w:rsidRPr="00000000">
        <w:rPr>
          <w:b w:val="1"/>
          <w:color w:val="424242"/>
          <w:rtl w:val="0"/>
        </w:rPr>
        <w:t xml:space="preserve">NÃO </w:t>
      </w:r>
      <w:r w:rsidDel="00000000" w:rsidR="00000000" w:rsidRPr="00000000">
        <w:rPr>
          <w:color w:val="424242"/>
          <w:rtl w:val="0"/>
        </w:rPr>
        <w:t xml:space="preserve">foram entregues nos termos de</w:t>
      </w:r>
      <w:r w:rsidDel="00000000" w:rsidR="00000000" w:rsidRPr="00000000">
        <w:rPr>
          <w:color w:val="424242"/>
          <w:rtl w:val="0"/>
        </w:rPr>
        <w:t xml:space="preserve"> quantidade, qualidade, tempo e modo  compatíveis com os indicadores de níveis mínimos de desempenho em conformidade com as especificações técnicas constantes no Documento de Referência deste Contrato, em decorrência de:</w:t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b w:val="1"/>
                <w:color w:val="424242"/>
              </w:rPr>
            </w:pPr>
            <w:r w:rsidDel="00000000" w:rsidR="00000000" w:rsidRPr="00000000">
              <w:rPr>
                <w:b w:val="1"/>
                <w:color w:val="424242"/>
                <w:rtl w:val="0"/>
              </w:rPr>
              <w:t xml:space="preserve">Não Conformidade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b w:val="1"/>
                <w:color w:val="424242"/>
              </w:rPr>
            </w:pPr>
            <w:r w:rsidDel="00000000" w:rsidR="00000000" w:rsidRPr="00000000">
              <w:rPr>
                <w:b w:val="1"/>
                <w:color w:val="424242"/>
                <w:rtl w:val="0"/>
              </w:rPr>
              <w:t xml:space="preserve">Referência Contratual/Técnica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both"/>
              <w:rPr>
                <w:color w:val="4242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both"/>
              <w:rPr>
                <w:color w:val="4242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both"/>
              <w:rPr>
                <w:color w:val="4242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both"/>
              <w:rPr>
                <w:color w:val="4242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Os relatórios técnicos detalhados que sustentam esta negativa de conformidade estão em anexo e constam de xxx páginas.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João Pessoa, ____/____/______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Fiscal Técnico: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Nome / Matrícula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contextualSpacing w:val="0"/>
      <w:rPr/>
    </w:pPr>
    <w:r w:rsidDel="00000000" w:rsidR="00000000" w:rsidRPr="00000000">
      <w:rPr>
        <w:rtl w:val="0"/>
      </w:rPr>
    </w:r>
  </w:p>
  <w:tbl>
    <w:tblPr>
      <w:tblStyle w:val="Table2"/>
      <w:tblW w:w="10020.0" w:type="dxa"/>
      <w:jc w:val="left"/>
      <w:tblInd w:w="-50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385"/>
      <w:gridCol w:w="5940"/>
      <w:gridCol w:w="1695"/>
      <w:tblGridChange w:id="0">
        <w:tblGrid>
          <w:gridCol w:w="2385"/>
          <w:gridCol w:w="5940"/>
          <w:gridCol w:w="1695"/>
        </w:tblGrid>
      </w:tblGridChange>
    </w:tblGrid>
    <w:tr>
      <w:trPr>
        <w:trHeight w:val="140" w:hRule="atLeast"/>
      </w:trPr>
      <w:tc>
        <w:tcPr>
          <w:vMerge w:val="restart"/>
          <w:tcBorders>
            <w:top w:color="0084d1" w:space="0" w:sz="6" w:val="single"/>
            <w:left w:color="0084d1" w:space="0" w:sz="6" w:val="single"/>
            <w:bottom w:color="0084d1" w:space="0" w:sz="6" w:val="single"/>
            <w:right w:color="000000" w:space="0" w:sz="0" w:val="nil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414338" cy="478082"/>
                <wp:effectExtent b="0" l="0" r="0" t="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338" cy="4780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 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/>
          </w:pPr>
          <w:r w:rsidDel="00000000" w:rsidR="00000000" w:rsidRPr="00000000">
            <w:rPr>
              <w:b w:val="1"/>
              <w:color w:val="231f20"/>
              <w:sz w:val="20"/>
              <w:szCs w:val="20"/>
              <w:rtl w:val="0"/>
            </w:rPr>
            <w:t xml:space="preserve">Estado da Paraíba - Tribunal de Justiç</w:t>
          </w:r>
          <w:r w:rsidDel="00000000" w:rsidR="00000000" w:rsidRPr="00000000">
            <w:rPr>
              <w:rtl w:val="0"/>
            </w:rPr>
            <w:t xml:space="preserve">a</w:t>
          </w:r>
        </w:p>
      </w:tc>
      <w:tc>
        <w:tcPr>
          <w:vMerge w:val="restart"/>
          <w:tcBorders>
            <w:top w:color="0084d1" w:space="0" w:sz="6" w:val="single"/>
            <w:left w:color="0084d1" w:space="0" w:sz="6" w:val="single"/>
            <w:bottom w:color="0084d1" w:space="0" w:sz="6" w:val="single"/>
            <w:right w:color="000000" w:space="0" w:sz="0" w:val="nil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spacing w:before="480" w:lineRule="auto"/>
            <w:contextualSpacing w:val="0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color w:val="231f20"/>
              <w:sz w:val="20"/>
              <w:szCs w:val="20"/>
              <w:rtl w:val="0"/>
            </w:rPr>
            <w:t xml:space="preserve">AÇÕES DE ATESTO E PAGAMENTO – RELATÓRIO DE NÃO -</w:t>
          </w:r>
          <w:r w:rsidDel="00000000" w:rsidR="00000000" w:rsidRPr="00000000">
            <w:rPr>
              <w:b w:val="1"/>
              <w:color w:val="231f20"/>
              <w:sz w:val="20"/>
              <w:szCs w:val="20"/>
              <w:u w:val="single"/>
              <w:rtl w:val="0"/>
            </w:rPr>
            <w:t xml:space="preserve">CONFORMIDADE</w:t>
          </w:r>
          <w:r w:rsidDel="00000000" w:rsidR="00000000" w:rsidRPr="00000000">
            <w:rPr>
              <w:b w:val="1"/>
              <w:color w:val="231f20"/>
              <w:sz w:val="20"/>
              <w:szCs w:val="20"/>
              <w:rtl w:val="0"/>
            </w:rPr>
            <w:t xml:space="preserve"> NA FISCALIZAÇÃO TÉCNICA - SERVIÇOS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84d1" w:space="0" w:sz="6" w:val="single"/>
            <w:left w:color="0084d1" w:space="0" w:sz="6" w:val="single"/>
            <w:bottom w:color="0084d1" w:space="0" w:sz="6" w:val="single"/>
            <w:right w:color="0084d1" w:space="0" w:sz="6" w:val="single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center"/>
            <w:rPr>
              <w:b w:val="1"/>
              <w:color w:val="231f20"/>
              <w:sz w:val="20"/>
              <w:szCs w:val="20"/>
            </w:rPr>
          </w:pPr>
          <w:r w:rsidDel="00000000" w:rsidR="00000000" w:rsidRPr="00000000">
            <w:rPr>
              <w:b w:val="1"/>
              <w:color w:val="231f20"/>
              <w:sz w:val="20"/>
              <w:szCs w:val="20"/>
              <w:rtl w:val="0"/>
            </w:rPr>
            <w:t xml:space="preserve">Código: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1020" w:hRule="atLeast"/>
      </w:trPr>
      <w:tc>
        <w:tcPr>
          <w:vMerge w:val="continue"/>
          <w:tcBorders>
            <w:bottom w:color="0084d1" w:space="0" w:sz="6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84d1" w:space="0" w:sz="6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84d1" w:space="0" w:sz="6" w:val="single"/>
            <w:bottom w:color="0084d1" w:space="0" w:sz="6" w:val="single"/>
            <w:right w:color="0084d1" w:space="0" w:sz="6" w:val="single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center"/>
            <w:rPr>
              <w:b w:val="1"/>
              <w:color w:val="231f20"/>
              <w:sz w:val="20"/>
              <w:szCs w:val="20"/>
            </w:rPr>
          </w:pPr>
          <w:r w:rsidDel="00000000" w:rsidR="00000000" w:rsidRPr="00000000">
            <w:rPr>
              <w:b w:val="1"/>
              <w:color w:val="231f20"/>
              <w:sz w:val="20"/>
              <w:szCs w:val="20"/>
              <w:rtl w:val="0"/>
            </w:rPr>
            <w:t xml:space="preserve">MOD-GC-007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center"/>
            <w:rPr>
              <w:b w:val="1"/>
              <w:color w:val="231f20"/>
              <w:sz w:val="20"/>
              <w:szCs w:val="20"/>
            </w:rPr>
          </w:pPr>
          <w:r w:rsidDel="00000000" w:rsidR="00000000" w:rsidRPr="00000000">
            <w:rPr>
              <w:b w:val="1"/>
              <w:color w:val="231f20"/>
              <w:sz w:val="20"/>
              <w:szCs w:val="20"/>
              <w:rtl w:val="0"/>
            </w:rPr>
            <w:tab/>
            <w:tab/>
          </w:r>
        </w:p>
      </w:tc>
    </w:tr>
  </w:tbl>
  <w:p w:rsidR="00000000" w:rsidDel="00000000" w:rsidP="00000000" w:rsidRDefault="00000000" w:rsidRPr="00000000" w14:paraId="0000002A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